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6F2" w:rsidRDefault="00CE36F2" w:rsidP="00CE36F2">
      <w:pPr>
        <w:spacing w:after="120"/>
        <w:jc w:val="both"/>
        <w:rPr>
          <w:rFonts w:ascii="Arial" w:hAnsi="Arial" w:cs="Arial"/>
          <w:b/>
          <w:sz w:val="24"/>
        </w:rPr>
      </w:pPr>
      <w:r w:rsidRPr="00CE36F2">
        <w:rPr>
          <w:rFonts w:ascii="Arial" w:hAnsi="Arial" w:cs="Arial"/>
          <w:b/>
          <w:sz w:val="24"/>
        </w:rPr>
        <w:t>CHECKLIST OF LIABILITY AND INDEMNITY PROVISION IN CLINICAL TRIAL AGREEMENTS</w:t>
      </w:r>
    </w:p>
    <w:p w:rsidR="00F645CA" w:rsidRPr="00CE36F2" w:rsidRDefault="00F645CA" w:rsidP="00CE36F2">
      <w:pPr>
        <w:spacing w:after="120"/>
        <w:jc w:val="both"/>
        <w:rPr>
          <w:rFonts w:ascii="Arial" w:hAnsi="Arial" w:cs="Arial"/>
          <w:b/>
          <w:sz w:val="24"/>
        </w:rPr>
      </w:pPr>
      <w:bookmarkStart w:id="0" w:name="_GoBack"/>
      <w:bookmarkEnd w:id="0"/>
    </w:p>
    <w:p w:rsidR="00CE36F2" w:rsidRPr="00CE36F2" w:rsidRDefault="00CE36F2" w:rsidP="00CE36F2">
      <w:pPr>
        <w:pStyle w:val="ListParagraph"/>
        <w:numPr>
          <w:ilvl w:val="0"/>
          <w:numId w:val="1"/>
        </w:numPr>
        <w:spacing w:after="120"/>
        <w:contextualSpacing w:val="0"/>
        <w:jc w:val="both"/>
        <w:rPr>
          <w:rFonts w:ascii="Arial" w:hAnsi="Arial" w:cs="Arial"/>
        </w:rPr>
      </w:pPr>
      <w:r w:rsidRPr="00CE36F2">
        <w:rPr>
          <w:rFonts w:ascii="Arial" w:hAnsi="Arial" w:cs="Arial"/>
        </w:rPr>
        <w:t>Scope of liability by the Institution (UP Manila/PGH) and Principal Investigator</w:t>
      </w:r>
    </w:p>
    <w:p w:rsidR="00CE36F2" w:rsidRPr="00CE36F2" w:rsidRDefault="00CE36F2" w:rsidP="00CE36F2">
      <w:pPr>
        <w:pStyle w:val="ListParagraph"/>
        <w:numPr>
          <w:ilvl w:val="1"/>
          <w:numId w:val="2"/>
        </w:numPr>
        <w:spacing w:after="120"/>
        <w:contextualSpacing w:val="0"/>
        <w:jc w:val="both"/>
        <w:rPr>
          <w:rFonts w:ascii="Arial" w:hAnsi="Arial" w:cs="Arial"/>
        </w:rPr>
      </w:pPr>
      <w:r w:rsidRPr="00CE36F2">
        <w:rPr>
          <w:rFonts w:ascii="Arial" w:hAnsi="Arial" w:cs="Arial"/>
        </w:rPr>
        <w:t>Medical negligence</w:t>
      </w:r>
    </w:p>
    <w:p w:rsidR="00CE36F2" w:rsidRPr="00CE36F2" w:rsidRDefault="00CE36F2" w:rsidP="00CE36F2">
      <w:pPr>
        <w:pStyle w:val="ListParagraph"/>
        <w:numPr>
          <w:ilvl w:val="1"/>
          <w:numId w:val="2"/>
        </w:numPr>
        <w:spacing w:after="120"/>
        <w:contextualSpacing w:val="0"/>
        <w:jc w:val="both"/>
        <w:rPr>
          <w:rFonts w:ascii="Arial" w:hAnsi="Arial" w:cs="Arial"/>
        </w:rPr>
      </w:pPr>
      <w:r w:rsidRPr="00CE36F2">
        <w:rPr>
          <w:rFonts w:ascii="Arial" w:hAnsi="Arial" w:cs="Arial"/>
        </w:rPr>
        <w:t>Not following protocol unless with the consent of the CRO/Sponsor</w:t>
      </w:r>
    </w:p>
    <w:p w:rsidR="00CE36F2" w:rsidRPr="00CE36F2" w:rsidRDefault="00CE36F2" w:rsidP="00CE36F2">
      <w:pPr>
        <w:pStyle w:val="ListParagraph"/>
        <w:numPr>
          <w:ilvl w:val="1"/>
          <w:numId w:val="2"/>
        </w:numPr>
        <w:spacing w:after="120"/>
        <w:contextualSpacing w:val="0"/>
        <w:jc w:val="both"/>
        <w:rPr>
          <w:rFonts w:ascii="Arial" w:hAnsi="Arial" w:cs="Arial"/>
        </w:rPr>
      </w:pPr>
      <w:r w:rsidRPr="00CE36F2">
        <w:rPr>
          <w:rFonts w:ascii="Arial" w:hAnsi="Arial" w:cs="Arial"/>
        </w:rPr>
        <w:t>Violation of laws relating to Clinical Trials</w:t>
      </w:r>
    </w:p>
    <w:p w:rsidR="00CE36F2" w:rsidRPr="00CE36F2" w:rsidRDefault="00CE36F2" w:rsidP="00CE36F2">
      <w:pPr>
        <w:pStyle w:val="ListParagraph"/>
        <w:numPr>
          <w:ilvl w:val="0"/>
          <w:numId w:val="1"/>
        </w:numPr>
        <w:spacing w:after="120"/>
        <w:contextualSpacing w:val="0"/>
        <w:jc w:val="both"/>
        <w:rPr>
          <w:rFonts w:ascii="Arial" w:hAnsi="Arial" w:cs="Arial"/>
        </w:rPr>
      </w:pPr>
      <w:r w:rsidRPr="00CE36F2">
        <w:rPr>
          <w:rFonts w:ascii="Arial" w:hAnsi="Arial" w:cs="Arial"/>
        </w:rPr>
        <w:t>Scope of liability of the Sponsor</w:t>
      </w:r>
    </w:p>
    <w:p w:rsidR="00CE36F2" w:rsidRPr="00CE36F2" w:rsidRDefault="00CE36F2" w:rsidP="00CE36F2">
      <w:pPr>
        <w:pStyle w:val="ListParagraph"/>
        <w:numPr>
          <w:ilvl w:val="1"/>
          <w:numId w:val="3"/>
        </w:numPr>
        <w:spacing w:after="120"/>
        <w:contextualSpacing w:val="0"/>
        <w:jc w:val="both"/>
        <w:rPr>
          <w:rFonts w:ascii="Arial" w:hAnsi="Arial" w:cs="Arial"/>
        </w:rPr>
      </w:pPr>
      <w:r w:rsidRPr="00CE36F2">
        <w:rPr>
          <w:rFonts w:ascii="Arial" w:hAnsi="Arial" w:cs="Arial"/>
        </w:rPr>
        <w:t>Negligence</w:t>
      </w:r>
    </w:p>
    <w:p w:rsidR="00CE36F2" w:rsidRPr="00CE36F2" w:rsidRDefault="00CE36F2" w:rsidP="00CE36F2">
      <w:pPr>
        <w:pStyle w:val="ListParagraph"/>
        <w:numPr>
          <w:ilvl w:val="1"/>
          <w:numId w:val="3"/>
        </w:numPr>
        <w:spacing w:after="120"/>
        <w:contextualSpacing w:val="0"/>
        <w:jc w:val="both"/>
        <w:rPr>
          <w:rFonts w:ascii="Arial" w:hAnsi="Arial" w:cs="Arial"/>
        </w:rPr>
      </w:pPr>
      <w:r w:rsidRPr="00CE36F2">
        <w:rPr>
          <w:rFonts w:ascii="Arial" w:hAnsi="Arial" w:cs="Arial"/>
        </w:rPr>
        <w:t>Product-related injuries and death</w:t>
      </w:r>
    </w:p>
    <w:p w:rsidR="00CE36F2" w:rsidRPr="00CE36F2" w:rsidRDefault="00CE36F2" w:rsidP="00CE36F2">
      <w:pPr>
        <w:pStyle w:val="ListParagraph"/>
        <w:numPr>
          <w:ilvl w:val="1"/>
          <w:numId w:val="3"/>
        </w:numPr>
        <w:spacing w:after="120"/>
        <w:contextualSpacing w:val="0"/>
        <w:jc w:val="both"/>
        <w:rPr>
          <w:rFonts w:ascii="Arial" w:hAnsi="Arial" w:cs="Arial"/>
        </w:rPr>
      </w:pPr>
      <w:r w:rsidRPr="00CE36F2">
        <w:rPr>
          <w:rFonts w:ascii="Arial" w:hAnsi="Arial" w:cs="Arial"/>
        </w:rPr>
        <w:t>Violation of laws relating to Clinical Trials</w:t>
      </w:r>
    </w:p>
    <w:p w:rsidR="00CE36F2" w:rsidRPr="00CE36F2" w:rsidRDefault="00CE36F2" w:rsidP="00CE36F2">
      <w:pPr>
        <w:pStyle w:val="ListParagraph"/>
        <w:numPr>
          <w:ilvl w:val="0"/>
          <w:numId w:val="1"/>
        </w:numPr>
        <w:spacing w:after="120"/>
        <w:contextualSpacing w:val="0"/>
        <w:jc w:val="both"/>
        <w:rPr>
          <w:rFonts w:ascii="Arial" w:hAnsi="Arial" w:cs="Arial"/>
        </w:rPr>
      </w:pPr>
      <w:r w:rsidRPr="00CE36F2">
        <w:rPr>
          <w:rFonts w:ascii="Arial" w:hAnsi="Arial" w:cs="Arial"/>
        </w:rPr>
        <w:t>Cost and control of defense</w:t>
      </w:r>
    </w:p>
    <w:p w:rsidR="00CE36F2" w:rsidRPr="00CE36F2" w:rsidRDefault="00CE36F2" w:rsidP="00CE36F2">
      <w:pPr>
        <w:pStyle w:val="ListParagraph"/>
        <w:numPr>
          <w:ilvl w:val="1"/>
          <w:numId w:val="4"/>
        </w:numPr>
        <w:spacing w:after="120"/>
        <w:contextualSpacing w:val="0"/>
        <w:jc w:val="both"/>
        <w:rPr>
          <w:rFonts w:ascii="Arial" w:hAnsi="Arial" w:cs="Arial"/>
        </w:rPr>
      </w:pPr>
      <w:r w:rsidRPr="00CE36F2">
        <w:rPr>
          <w:rFonts w:ascii="Arial" w:hAnsi="Arial" w:cs="Arial"/>
        </w:rPr>
        <w:t>The sponsor directly or through the CRO shall be notified of any complaint for injuries or death file by a participating person in the clinical trial</w:t>
      </w:r>
    </w:p>
    <w:p w:rsidR="00CE36F2" w:rsidRPr="00CE36F2" w:rsidRDefault="00CE36F2" w:rsidP="00CE36F2">
      <w:pPr>
        <w:pStyle w:val="ListParagraph"/>
        <w:numPr>
          <w:ilvl w:val="1"/>
          <w:numId w:val="4"/>
        </w:numPr>
        <w:spacing w:after="120"/>
        <w:contextualSpacing w:val="0"/>
        <w:jc w:val="both"/>
        <w:rPr>
          <w:rFonts w:ascii="Arial" w:hAnsi="Arial" w:cs="Arial"/>
        </w:rPr>
      </w:pPr>
      <w:r w:rsidRPr="00CE36F2">
        <w:rPr>
          <w:rFonts w:ascii="Arial" w:hAnsi="Arial" w:cs="Arial"/>
        </w:rPr>
        <w:t>The sponsor may only participate in the control of the defense only upon providing payment for the cost for the defense</w:t>
      </w:r>
    </w:p>
    <w:p w:rsidR="00CE36F2" w:rsidRPr="00CE36F2" w:rsidRDefault="00CE36F2" w:rsidP="00CE36F2">
      <w:pPr>
        <w:pStyle w:val="ListParagraph"/>
        <w:numPr>
          <w:ilvl w:val="1"/>
          <w:numId w:val="4"/>
        </w:numPr>
        <w:spacing w:after="120"/>
        <w:contextualSpacing w:val="0"/>
        <w:jc w:val="both"/>
        <w:rPr>
          <w:rFonts w:ascii="Arial" w:hAnsi="Arial" w:cs="Arial"/>
        </w:rPr>
      </w:pPr>
      <w:r w:rsidRPr="00CE36F2">
        <w:rPr>
          <w:rFonts w:ascii="Arial" w:hAnsi="Arial" w:cs="Arial"/>
        </w:rPr>
        <w:t>After the final judgement, the party at fault shall bear the cost for defense including reasonable attorney’s fees</w:t>
      </w:r>
    </w:p>
    <w:p w:rsidR="00CE36F2" w:rsidRPr="00CE36F2" w:rsidRDefault="00CE36F2" w:rsidP="00CE36F2">
      <w:pPr>
        <w:pStyle w:val="ListParagraph"/>
        <w:numPr>
          <w:ilvl w:val="1"/>
          <w:numId w:val="4"/>
        </w:numPr>
        <w:spacing w:after="120"/>
        <w:contextualSpacing w:val="0"/>
        <w:jc w:val="both"/>
        <w:rPr>
          <w:rFonts w:ascii="Arial" w:hAnsi="Arial" w:cs="Arial"/>
        </w:rPr>
      </w:pPr>
      <w:r w:rsidRPr="00CE36F2">
        <w:rPr>
          <w:rFonts w:ascii="Arial" w:hAnsi="Arial" w:cs="Arial"/>
        </w:rPr>
        <w:t>If both parties are liable, the parties shall proportionally bear the cost</w:t>
      </w:r>
    </w:p>
    <w:p w:rsidR="00CE36F2" w:rsidRPr="00CE36F2" w:rsidRDefault="00CE36F2" w:rsidP="00CE36F2">
      <w:pPr>
        <w:pStyle w:val="ListParagraph"/>
        <w:numPr>
          <w:ilvl w:val="1"/>
          <w:numId w:val="4"/>
        </w:numPr>
        <w:spacing w:after="120"/>
        <w:contextualSpacing w:val="0"/>
        <w:jc w:val="both"/>
        <w:rPr>
          <w:rFonts w:ascii="Arial" w:hAnsi="Arial" w:cs="Arial"/>
        </w:rPr>
      </w:pPr>
      <w:r w:rsidRPr="00CE36F2">
        <w:rPr>
          <w:rFonts w:ascii="Arial" w:hAnsi="Arial" w:cs="Arial"/>
        </w:rPr>
        <w:t>If the cost for defense is shared by the parties, no party shall enter into a compromise agreement without the written authority of the other party</w:t>
      </w:r>
    </w:p>
    <w:p w:rsidR="00CE36F2" w:rsidRPr="00CE36F2" w:rsidRDefault="00CE36F2" w:rsidP="00CE36F2">
      <w:pPr>
        <w:pStyle w:val="ListParagraph"/>
        <w:numPr>
          <w:ilvl w:val="0"/>
          <w:numId w:val="1"/>
        </w:numPr>
        <w:spacing w:after="120"/>
        <w:contextualSpacing w:val="0"/>
        <w:jc w:val="both"/>
        <w:rPr>
          <w:rFonts w:ascii="Arial" w:hAnsi="Arial" w:cs="Arial"/>
        </w:rPr>
      </w:pPr>
      <w:r w:rsidRPr="00CE36F2">
        <w:rPr>
          <w:rFonts w:ascii="Arial" w:hAnsi="Arial" w:cs="Arial"/>
        </w:rPr>
        <w:t xml:space="preserve">Insurance </w:t>
      </w:r>
    </w:p>
    <w:p w:rsidR="00CE36F2" w:rsidRPr="00CE36F2" w:rsidRDefault="00CE36F2" w:rsidP="00CE36F2">
      <w:pPr>
        <w:pStyle w:val="ListParagraph"/>
        <w:numPr>
          <w:ilvl w:val="1"/>
          <w:numId w:val="5"/>
        </w:numPr>
        <w:spacing w:after="120"/>
        <w:contextualSpacing w:val="0"/>
        <w:jc w:val="both"/>
        <w:rPr>
          <w:rFonts w:ascii="Arial" w:hAnsi="Arial" w:cs="Arial"/>
        </w:rPr>
      </w:pPr>
      <w:r w:rsidRPr="00CE36F2">
        <w:rPr>
          <w:rFonts w:ascii="Arial" w:hAnsi="Arial" w:cs="Arial"/>
        </w:rPr>
        <w:t>If both parties are liable, the parties shall proportionately bear the cost</w:t>
      </w:r>
    </w:p>
    <w:p w:rsidR="00CE36F2" w:rsidRPr="00CE36F2" w:rsidRDefault="00CE36F2" w:rsidP="00CE36F2">
      <w:pPr>
        <w:pStyle w:val="ListParagraph"/>
        <w:numPr>
          <w:ilvl w:val="1"/>
          <w:numId w:val="5"/>
        </w:numPr>
        <w:spacing w:after="120"/>
        <w:contextualSpacing w:val="0"/>
        <w:jc w:val="both"/>
        <w:rPr>
          <w:rFonts w:ascii="Arial" w:hAnsi="Arial" w:cs="Arial"/>
        </w:rPr>
      </w:pPr>
      <w:r w:rsidRPr="00CE36F2">
        <w:rPr>
          <w:rFonts w:ascii="Arial" w:hAnsi="Arial" w:cs="Arial"/>
        </w:rPr>
        <w:t>Before the commencement of the clinical trial, the sponsor shall provide the Institution certified true copies of the insurance policies for all clinical trial-related injuries or death which shall remain in full force and effect from the commencement of the clinical trial and at least until six (6) months from the termination thereof.</w:t>
      </w:r>
    </w:p>
    <w:p w:rsidR="00CE36F2" w:rsidRPr="00CE36F2" w:rsidRDefault="00CE36F2" w:rsidP="00CE36F2">
      <w:pPr>
        <w:pStyle w:val="ListParagraph"/>
        <w:numPr>
          <w:ilvl w:val="1"/>
          <w:numId w:val="5"/>
        </w:numPr>
        <w:spacing w:after="120"/>
        <w:contextualSpacing w:val="0"/>
        <w:jc w:val="both"/>
        <w:rPr>
          <w:rFonts w:ascii="Arial" w:hAnsi="Arial" w:cs="Arial"/>
        </w:rPr>
      </w:pPr>
      <w:r w:rsidRPr="00CE36F2">
        <w:rPr>
          <w:rFonts w:ascii="Arial" w:hAnsi="Arial" w:cs="Arial"/>
        </w:rPr>
        <w:t>The insurance shall not relieve the sponsor of any liability adjudged with finality by the court or administrative tribunal for payment of damages if the amount is in excess of the insurance coverage or it the insurance agent fails or refuses to pay for such liability</w:t>
      </w:r>
    </w:p>
    <w:p w:rsidR="00CE36F2" w:rsidRPr="00CE36F2" w:rsidRDefault="00CE36F2" w:rsidP="00CE36F2">
      <w:pPr>
        <w:pStyle w:val="ListParagraph"/>
        <w:numPr>
          <w:ilvl w:val="1"/>
          <w:numId w:val="5"/>
        </w:numPr>
        <w:spacing w:after="120"/>
        <w:contextualSpacing w:val="0"/>
        <w:jc w:val="both"/>
        <w:rPr>
          <w:rFonts w:ascii="Arial" w:hAnsi="Arial" w:cs="Arial"/>
        </w:rPr>
      </w:pPr>
      <w:r w:rsidRPr="00CE36F2">
        <w:rPr>
          <w:rFonts w:ascii="Arial" w:hAnsi="Arial" w:cs="Arial"/>
        </w:rPr>
        <w:t>The CTA shall not be considered valid and binding without presenting to the Institution/Primary Investigator a certified true copy of insurance policy</w:t>
      </w:r>
    </w:p>
    <w:p w:rsidR="00CE36F2" w:rsidRPr="00CE36F2" w:rsidRDefault="00CE36F2" w:rsidP="00CE36F2">
      <w:pPr>
        <w:spacing w:after="120"/>
        <w:ind w:left="360"/>
        <w:jc w:val="both"/>
        <w:rPr>
          <w:rFonts w:ascii="Arial" w:hAnsi="Arial" w:cs="Arial"/>
        </w:rPr>
      </w:pPr>
    </w:p>
    <w:p w:rsidR="00CE36F2" w:rsidRPr="00CE36F2" w:rsidRDefault="00CE36F2">
      <w:pPr>
        <w:rPr>
          <w:rFonts w:ascii="Arial" w:hAnsi="Arial" w:cs="Arial"/>
          <w:b/>
        </w:rPr>
      </w:pPr>
      <w:r w:rsidRPr="00CE36F2">
        <w:rPr>
          <w:rFonts w:ascii="Arial" w:hAnsi="Arial" w:cs="Arial"/>
          <w:b/>
        </w:rPr>
        <w:br w:type="page"/>
      </w:r>
    </w:p>
    <w:p w:rsidR="00CE36F2" w:rsidRDefault="00CE36F2" w:rsidP="00CE36F2">
      <w:pPr>
        <w:spacing w:after="120"/>
        <w:jc w:val="both"/>
        <w:rPr>
          <w:rFonts w:ascii="Arial" w:hAnsi="Arial" w:cs="Arial"/>
          <w:b/>
          <w:sz w:val="24"/>
        </w:rPr>
      </w:pPr>
      <w:r w:rsidRPr="00CE36F2">
        <w:rPr>
          <w:rFonts w:ascii="Arial" w:hAnsi="Arial" w:cs="Arial"/>
          <w:b/>
          <w:sz w:val="24"/>
        </w:rPr>
        <w:lastRenderedPageBreak/>
        <w:t>CHECKLIST OF DOCUMENTARY SUPPORT FOR THE ENDORSEMENT OF CLINICAL TRIAL AGREEMENTS</w:t>
      </w:r>
    </w:p>
    <w:p w:rsidR="00F645CA" w:rsidRPr="00CE36F2" w:rsidRDefault="00F645CA" w:rsidP="00CE36F2">
      <w:pPr>
        <w:spacing w:after="120"/>
        <w:jc w:val="both"/>
        <w:rPr>
          <w:rFonts w:ascii="Arial" w:hAnsi="Arial" w:cs="Arial"/>
          <w:b/>
          <w:sz w:val="24"/>
        </w:rPr>
      </w:pPr>
    </w:p>
    <w:p w:rsidR="00CE36F2" w:rsidRPr="00CE36F2" w:rsidRDefault="00CE36F2" w:rsidP="00CE36F2">
      <w:pPr>
        <w:spacing w:after="120"/>
        <w:jc w:val="both"/>
        <w:rPr>
          <w:rFonts w:ascii="Arial" w:hAnsi="Arial" w:cs="Arial"/>
          <w:b/>
          <w:u w:val="single"/>
        </w:rPr>
      </w:pPr>
      <w:r w:rsidRPr="00CE36F2">
        <w:rPr>
          <w:rFonts w:ascii="Arial" w:hAnsi="Arial" w:cs="Arial"/>
          <w:b/>
          <w:u w:val="single"/>
        </w:rPr>
        <w:t>For Clinical Trials of Investigational New Drug/s</w:t>
      </w:r>
    </w:p>
    <w:p w:rsidR="00CE36F2" w:rsidRPr="00CE36F2" w:rsidRDefault="00CE36F2" w:rsidP="00CE36F2">
      <w:pPr>
        <w:pStyle w:val="ListParagraph"/>
        <w:numPr>
          <w:ilvl w:val="0"/>
          <w:numId w:val="6"/>
        </w:numPr>
        <w:spacing w:after="120"/>
        <w:contextualSpacing w:val="0"/>
        <w:jc w:val="both"/>
        <w:rPr>
          <w:rFonts w:ascii="Arial" w:hAnsi="Arial" w:cs="Arial"/>
        </w:rPr>
      </w:pPr>
      <w:r w:rsidRPr="00CE36F2">
        <w:rPr>
          <w:rFonts w:ascii="Arial" w:hAnsi="Arial" w:cs="Arial"/>
        </w:rPr>
        <w:t>FDA-issued License to Operate as a CRO/Sponsor</w:t>
      </w:r>
    </w:p>
    <w:p w:rsidR="00CE36F2" w:rsidRDefault="00CE36F2" w:rsidP="00CE36F2">
      <w:pPr>
        <w:pStyle w:val="ListParagraph"/>
        <w:numPr>
          <w:ilvl w:val="0"/>
          <w:numId w:val="6"/>
        </w:numPr>
        <w:spacing w:after="120"/>
        <w:contextualSpacing w:val="0"/>
        <w:jc w:val="both"/>
        <w:rPr>
          <w:rFonts w:ascii="Arial" w:hAnsi="Arial" w:cs="Arial"/>
        </w:rPr>
      </w:pPr>
      <w:r w:rsidRPr="00CE36F2">
        <w:rPr>
          <w:rFonts w:ascii="Arial" w:hAnsi="Arial" w:cs="Arial"/>
        </w:rPr>
        <w:t>FDA clearance/approval for the clinical trial</w:t>
      </w:r>
    </w:p>
    <w:p w:rsidR="00F645CA" w:rsidRPr="00F645CA" w:rsidRDefault="00F645CA" w:rsidP="00F645CA">
      <w:pPr>
        <w:spacing w:after="120"/>
        <w:jc w:val="both"/>
        <w:rPr>
          <w:rFonts w:ascii="Arial" w:hAnsi="Arial" w:cs="Arial"/>
        </w:rPr>
      </w:pPr>
    </w:p>
    <w:p w:rsidR="00CE36F2" w:rsidRPr="00CE36F2" w:rsidRDefault="00CE36F2" w:rsidP="00CE36F2">
      <w:pPr>
        <w:tabs>
          <w:tab w:val="left" w:pos="90"/>
        </w:tabs>
        <w:spacing w:after="120"/>
        <w:jc w:val="both"/>
        <w:rPr>
          <w:rFonts w:ascii="Arial" w:hAnsi="Arial" w:cs="Arial"/>
          <w:b/>
          <w:u w:val="single"/>
        </w:rPr>
      </w:pPr>
      <w:r w:rsidRPr="00CE36F2">
        <w:rPr>
          <w:rFonts w:ascii="Arial" w:hAnsi="Arial" w:cs="Arial"/>
          <w:b/>
          <w:u w:val="single"/>
        </w:rPr>
        <w:t>For all Clinical Trials</w:t>
      </w:r>
    </w:p>
    <w:p w:rsidR="00CE36F2" w:rsidRPr="00CE36F2" w:rsidRDefault="00CE36F2" w:rsidP="00CE36F2">
      <w:pPr>
        <w:pStyle w:val="ListParagraph"/>
        <w:numPr>
          <w:ilvl w:val="0"/>
          <w:numId w:val="6"/>
        </w:numPr>
        <w:spacing w:after="120"/>
        <w:contextualSpacing w:val="0"/>
        <w:jc w:val="both"/>
        <w:rPr>
          <w:rFonts w:ascii="Arial" w:hAnsi="Arial" w:cs="Arial"/>
        </w:rPr>
      </w:pPr>
      <w:r w:rsidRPr="00CE36F2">
        <w:rPr>
          <w:rFonts w:ascii="Arial" w:hAnsi="Arial" w:cs="Arial"/>
        </w:rPr>
        <w:t>Articles of Incorporation or certificate of registration issued by the government where the corporation of the Sponsor is registered</w:t>
      </w:r>
    </w:p>
    <w:p w:rsidR="00CE36F2" w:rsidRPr="00CE36F2" w:rsidRDefault="00CE36F2" w:rsidP="00CE36F2">
      <w:pPr>
        <w:pStyle w:val="ListParagraph"/>
        <w:numPr>
          <w:ilvl w:val="0"/>
          <w:numId w:val="6"/>
        </w:numPr>
        <w:spacing w:after="120"/>
        <w:contextualSpacing w:val="0"/>
        <w:jc w:val="both"/>
        <w:rPr>
          <w:rFonts w:ascii="Arial" w:hAnsi="Arial" w:cs="Arial"/>
        </w:rPr>
      </w:pPr>
      <w:r w:rsidRPr="00CE36F2">
        <w:rPr>
          <w:rFonts w:ascii="Arial" w:hAnsi="Arial" w:cs="Arial"/>
        </w:rPr>
        <w:t>Articles of Incorporation or certificate of registration issued by the government where the CRO is registered</w:t>
      </w:r>
    </w:p>
    <w:p w:rsidR="00CE36F2" w:rsidRPr="00CE36F2" w:rsidRDefault="00CE36F2" w:rsidP="00CE36F2">
      <w:pPr>
        <w:pStyle w:val="ListParagraph"/>
        <w:numPr>
          <w:ilvl w:val="0"/>
          <w:numId w:val="6"/>
        </w:numPr>
        <w:spacing w:after="120"/>
        <w:contextualSpacing w:val="0"/>
        <w:jc w:val="both"/>
        <w:rPr>
          <w:rFonts w:ascii="Arial" w:hAnsi="Arial" w:cs="Arial"/>
        </w:rPr>
      </w:pPr>
      <w:r w:rsidRPr="00CE36F2">
        <w:rPr>
          <w:rFonts w:ascii="Arial" w:hAnsi="Arial" w:cs="Arial"/>
        </w:rPr>
        <w:t>Power of Attorney issued by the Sponsor in favor of the CRO to represent is as party to the CTA</w:t>
      </w:r>
    </w:p>
    <w:p w:rsidR="00CE36F2" w:rsidRPr="00CE36F2" w:rsidRDefault="00CE36F2" w:rsidP="00CE36F2">
      <w:pPr>
        <w:pStyle w:val="ListParagraph"/>
        <w:numPr>
          <w:ilvl w:val="0"/>
          <w:numId w:val="6"/>
        </w:numPr>
        <w:spacing w:after="120"/>
        <w:contextualSpacing w:val="0"/>
        <w:jc w:val="both"/>
        <w:rPr>
          <w:rFonts w:ascii="Arial" w:hAnsi="Arial" w:cs="Arial"/>
        </w:rPr>
      </w:pPr>
      <w:r w:rsidRPr="00CE36F2">
        <w:rPr>
          <w:rFonts w:ascii="Arial" w:hAnsi="Arial" w:cs="Arial"/>
        </w:rPr>
        <w:t>Power of Attorney issued by the CRO in favor of its designated signatory to the CTA</w:t>
      </w:r>
    </w:p>
    <w:p w:rsidR="00CE36F2" w:rsidRPr="00CE36F2" w:rsidRDefault="00CE36F2" w:rsidP="00CE36F2">
      <w:pPr>
        <w:pStyle w:val="ListParagraph"/>
        <w:numPr>
          <w:ilvl w:val="0"/>
          <w:numId w:val="6"/>
        </w:numPr>
        <w:spacing w:after="120"/>
        <w:contextualSpacing w:val="0"/>
        <w:jc w:val="both"/>
        <w:rPr>
          <w:rFonts w:ascii="Arial" w:hAnsi="Arial" w:cs="Arial"/>
        </w:rPr>
      </w:pPr>
      <w:r w:rsidRPr="00CE36F2">
        <w:rPr>
          <w:rFonts w:ascii="Arial" w:hAnsi="Arial" w:cs="Arial"/>
        </w:rPr>
        <w:t>Protocol</w:t>
      </w:r>
    </w:p>
    <w:p w:rsidR="00CE36F2" w:rsidRPr="00CE36F2" w:rsidRDefault="00CE36F2" w:rsidP="00CE36F2">
      <w:pPr>
        <w:pStyle w:val="ListParagraph"/>
        <w:numPr>
          <w:ilvl w:val="0"/>
          <w:numId w:val="6"/>
        </w:numPr>
        <w:spacing w:after="120"/>
        <w:contextualSpacing w:val="0"/>
        <w:jc w:val="both"/>
        <w:rPr>
          <w:rFonts w:ascii="Arial" w:hAnsi="Arial" w:cs="Arial"/>
        </w:rPr>
      </w:pPr>
      <w:r w:rsidRPr="00CE36F2">
        <w:rPr>
          <w:rFonts w:ascii="Arial" w:hAnsi="Arial" w:cs="Arial"/>
        </w:rPr>
        <w:t>UPMREB ethics review approval</w:t>
      </w:r>
    </w:p>
    <w:p w:rsidR="00CE36F2" w:rsidRPr="00CE36F2" w:rsidRDefault="00CE36F2" w:rsidP="00CE36F2">
      <w:pPr>
        <w:pStyle w:val="ListParagraph"/>
        <w:numPr>
          <w:ilvl w:val="0"/>
          <w:numId w:val="6"/>
        </w:numPr>
        <w:spacing w:after="120"/>
        <w:contextualSpacing w:val="0"/>
        <w:jc w:val="both"/>
        <w:rPr>
          <w:rFonts w:ascii="Arial" w:hAnsi="Arial" w:cs="Arial"/>
        </w:rPr>
      </w:pPr>
      <w:r w:rsidRPr="00CE36F2">
        <w:rPr>
          <w:rFonts w:ascii="Arial" w:hAnsi="Arial" w:cs="Arial"/>
        </w:rPr>
        <w:t>Insurance in favor of the study participants in case of injuries or death in relation to their participation in the study or intake of study drugs or being subjected to the study medical devise or equipment</w:t>
      </w:r>
    </w:p>
    <w:p w:rsidR="00CE36F2" w:rsidRPr="00CE36F2" w:rsidRDefault="00CE36F2" w:rsidP="00CE36F2">
      <w:pPr>
        <w:pStyle w:val="ListParagraph"/>
        <w:numPr>
          <w:ilvl w:val="0"/>
          <w:numId w:val="6"/>
        </w:numPr>
        <w:spacing w:after="120"/>
        <w:contextualSpacing w:val="0"/>
        <w:jc w:val="both"/>
        <w:rPr>
          <w:rFonts w:ascii="Arial" w:hAnsi="Arial" w:cs="Arial"/>
        </w:rPr>
      </w:pPr>
      <w:r w:rsidRPr="00CE36F2">
        <w:rPr>
          <w:rFonts w:ascii="Arial" w:hAnsi="Arial" w:cs="Arial"/>
        </w:rPr>
        <w:t>Usual format for the citation of the University of the Philippines as party to the CTA:</w:t>
      </w:r>
    </w:p>
    <w:p w:rsidR="00CE36F2" w:rsidRPr="00CE36F2" w:rsidRDefault="00CE36F2" w:rsidP="00CE36F2">
      <w:pPr>
        <w:pStyle w:val="ListParagraph"/>
        <w:spacing w:after="120"/>
        <w:ind w:left="1440"/>
        <w:contextualSpacing w:val="0"/>
        <w:jc w:val="both"/>
        <w:rPr>
          <w:rFonts w:ascii="Arial" w:hAnsi="Arial" w:cs="Arial"/>
        </w:rPr>
      </w:pPr>
    </w:p>
    <w:p w:rsidR="00CE36F2" w:rsidRPr="00CE36F2" w:rsidRDefault="00CE36F2" w:rsidP="00CE36F2">
      <w:pPr>
        <w:pStyle w:val="ListParagraph"/>
        <w:spacing w:after="120"/>
        <w:contextualSpacing w:val="0"/>
        <w:jc w:val="both"/>
        <w:rPr>
          <w:rFonts w:ascii="Arial" w:hAnsi="Arial" w:cs="Arial"/>
        </w:rPr>
      </w:pPr>
      <w:r w:rsidRPr="00CE36F2">
        <w:rPr>
          <w:rFonts w:ascii="Arial" w:hAnsi="Arial" w:cs="Arial"/>
        </w:rPr>
        <w:t>The University of the Philippines, the national university of the Philippines created by virtue of Act No. 1870, as amended and reorganized and operating by virtue of Republic Act No. 9500, through its constituent university, University of the Philippines Manila, with office address at 8/F RCB Building, Philippine General Hospital, Manila, represented herein by its Chancellor, DR. CARMENCITA D. PADILLA, hereinafter referred to as the “UPM,” representing the PHILIPPINE GENERAL HOSPITAL (Site/Institution);</w:t>
      </w:r>
    </w:p>
    <w:p w:rsidR="000C1C99" w:rsidRPr="00CE36F2" w:rsidRDefault="00595DF1" w:rsidP="0034374F">
      <w:pPr>
        <w:rPr>
          <w:sz w:val="24"/>
        </w:rPr>
      </w:pPr>
    </w:p>
    <w:sectPr w:rsidR="000C1C99" w:rsidRPr="00CE36F2" w:rsidSect="00C658B5">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F1" w:rsidRDefault="00595DF1">
      <w:pPr>
        <w:spacing w:after="0" w:line="240" w:lineRule="auto"/>
      </w:pPr>
      <w:r>
        <w:separator/>
      </w:r>
    </w:p>
  </w:endnote>
  <w:endnote w:type="continuationSeparator" w:id="0">
    <w:p w:rsidR="00595DF1" w:rsidRDefault="00595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DF" w:rsidRDefault="000754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40" w:type="dxa"/>
      <w:tblInd w:w="-630"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5796"/>
      <w:gridCol w:w="2340"/>
    </w:tblGrid>
    <w:tr w:rsidR="00DE3A11" w:rsidRPr="00DE3A11" w:rsidTr="00781D27">
      <w:tc>
        <w:tcPr>
          <w:tcW w:w="2304" w:type="dxa"/>
        </w:tcPr>
        <w:p w:rsidR="00DE3A11" w:rsidRPr="00DE3A11" w:rsidRDefault="0034374F" w:rsidP="00DE3A11">
          <w:pPr>
            <w:pStyle w:val="Footer"/>
            <w:rPr>
              <w:sz w:val="18"/>
            </w:rPr>
          </w:pPr>
          <w:r w:rsidRPr="00DE3A11">
            <w:rPr>
              <w:sz w:val="18"/>
            </w:rPr>
            <w:t>Tel (+632) 567-2054</w:t>
          </w:r>
        </w:p>
      </w:tc>
      <w:tc>
        <w:tcPr>
          <w:tcW w:w="5796" w:type="dxa"/>
        </w:tcPr>
        <w:p w:rsidR="00DE3A11" w:rsidRPr="00DE3A11" w:rsidRDefault="0034374F" w:rsidP="00DE3A11">
          <w:pPr>
            <w:pStyle w:val="Footer"/>
            <w:jc w:val="center"/>
            <w:rPr>
              <w:sz w:val="18"/>
            </w:rPr>
          </w:pPr>
          <w:r w:rsidRPr="00DE3A11">
            <w:rPr>
              <w:sz w:val="18"/>
            </w:rPr>
            <w:t xml:space="preserve">Room 109, National Institutes of Health </w:t>
          </w:r>
          <w:proofErr w:type="spellStart"/>
          <w:r w:rsidRPr="00DE3A11">
            <w:rPr>
              <w:sz w:val="18"/>
            </w:rPr>
            <w:t>Bldg</w:t>
          </w:r>
          <w:proofErr w:type="spellEnd"/>
        </w:p>
        <w:p w:rsidR="00DE3A11" w:rsidRPr="00DE3A11" w:rsidRDefault="0034374F" w:rsidP="00DE3A11">
          <w:pPr>
            <w:pStyle w:val="Footer"/>
            <w:jc w:val="center"/>
            <w:rPr>
              <w:sz w:val="18"/>
            </w:rPr>
          </w:pPr>
          <w:r w:rsidRPr="00DE3A11">
            <w:rPr>
              <w:sz w:val="18"/>
            </w:rPr>
            <w:t xml:space="preserve">623 Pedro Gil St. </w:t>
          </w:r>
          <w:proofErr w:type="spellStart"/>
          <w:r w:rsidRPr="00DE3A11">
            <w:rPr>
              <w:sz w:val="18"/>
            </w:rPr>
            <w:t>Ermita</w:t>
          </w:r>
          <w:proofErr w:type="spellEnd"/>
          <w:r w:rsidRPr="00DE3A11">
            <w:rPr>
              <w:sz w:val="18"/>
            </w:rPr>
            <w:t xml:space="preserve"> Manila, Philippines 1000</w:t>
          </w:r>
        </w:p>
      </w:tc>
      <w:tc>
        <w:tcPr>
          <w:tcW w:w="2340" w:type="dxa"/>
        </w:tcPr>
        <w:p w:rsidR="00DE3A11" w:rsidRPr="00DE3A11" w:rsidRDefault="0034374F" w:rsidP="00DE3A11">
          <w:pPr>
            <w:pStyle w:val="Footer"/>
            <w:jc w:val="right"/>
            <w:rPr>
              <w:sz w:val="18"/>
            </w:rPr>
          </w:pPr>
          <w:r w:rsidRPr="00DE3A11">
            <w:rPr>
              <w:sz w:val="18"/>
            </w:rPr>
            <w:t>Website: rgao.upm.edu.ph</w:t>
          </w:r>
        </w:p>
      </w:tc>
    </w:tr>
  </w:tbl>
  <w:p w:rsidR="00940D9F" w:rsidRPr="00DE3A11" w:rsidRDefault="00595DF1">
    <w:pPr>
      <w:pStyle w:val="Footer"/>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DF" w:rsidRDefault="000754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F1" w:rsidRDefault="00595DF1">
      <w:pPr>
        <w:spacing w:after="0" w:line="240" w:lineRule="auto"/>
      </w:pPr>
      <w:r>
        <w:separator/>
      </w:r>
    </w:p>
  </w:footnote>
  <w:footnote w:type="continuationSeparator" w:id="0">
    <w:p w:rsidR="00595DF1" w:rsidRDefault="00595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DF" w:rsidRDefault="000754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81" w:type="pct"/>
      <w:tblInd w:w="-630"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8998"/>
    </w:tblGrid>
    <w:tr w:rsidR="00DE3A11" w:rsidTr="00781D27">
      <w:trPr>
        <w:trHeight w:val="1260"/>
      </w:trPr>
      <w:tc>
        <w:tcPr>
          <w:tcW w:w="690" w:type="pct"/>
          <w:vAlign w:val="center"/>
        </w:tcPr>
        <w:p w:rsidR="00DE3A11" w:rsidRDefault="0034374F" w:rsidP="00781D27">
          <w:pPr>
            <w:pStyle w:val="Header"/>
            <w:jc w:val="center"/>
          </w:pPr>
          <w:r>
            <w:rPr>
              <w:noProof/>
            </w:rPr>
            <w:drawing>
              <wp:inline distT="0" distB="0" distL="0" distR="0" wp14:anchorId="7B50FCE9" wp14:editId="6D0373D9">
                <wp:extent cx="737154" cy="7315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 Mani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154" cy="731520"/>
                        </a:xfrm>
                        <a:prstGeom prst="rect">
                          <a:avLst/>
                        </a:prstGeom>
                      </pic:spPr>
                    </pic:pic>
                  </a:graphicData>
                </a:graphic>
              </wp:inline>
            </w:drawing>
          </w:r>
        </w:p>
      </w:tc>
      <w:tc>
        <w:tcPr>
          <w:tcW w:w="4310" w:type="pct"/>
          <w:vAlign w:val="center"/>
        </w:tcPr>
        <w:p w:rsidR="00DE3A11" w:rsidRPr="00781D27" w:rsidRDefault="0034374F" w:rsidP="00781D27">
          <w:pPr>
            <w:pStyle w:val="Header"/>
            <w:jc w:val="both"/>
            <w:rPr>
              <w:rFonts w:ascii="Bookman Old Style" w:hAnsi="Bookman Old Style"/>
              <w:spacing w:val="22"/>
              <w:w w:val="127"/>
              <w:sz w:val="28"/>
              <w:szCs w:val="30"/>
            </w:rPr>
          </w:pPr>
          <w:r w:rsidRPr="00781D27">
            <w:rPr>
              <w:rFonts w:ascii="Bookman Old Style" w:hAnsi="Bookman Old Style"/>
              <w:spacing w:val="22"/>
              <w:w w:val="127"/>
              <w:sz w:val="28"/>
              <w:szCs w:val="30"/>
            </w:rPr>
            <w:t>UNIVERSITY OF THE PHILIPPINES MANILA</w:t>
          </w:r>
        </w:p>
        <w:p w:rsidR="00DE3A11" w:rsidRPr="00781D27" w:rsidRDefault="0034374F" w:rsidP="00781D27">
          <w:pPr>
            <w:pStyle w:val="Header"/>
            <w:jc w:val="both"/>
            <w:rPr>
              <w:rFonts w:ascii="Bookman Old Style" w:hAnsi="Bookman Old Style"/>
              <w:b/>
              <w:sz w:val="32"/>
            </w:rPr>
          </w:pPr>
          <w:r w:rsidRPr="00781D27">
            <w:rPr>
              <w:rFonts w:ascii="Bookman Old Style" w:hAnsi="Bookman Old Style"/>
              <w:b/>
              <w:sz w:val="34"/>
              <w:szCs w:val="34"/>
            </w:rPr>
            <w:t>RESEARCH GRANTS ADMINISTRATION OFFICE</w:t>
          </w:r>
        </w:p>
      </w:tc>
    </w:tr>
  </w:tbl>
  <w:p w:rsidR="00940D9F" w:rsidRDefault="00595DF1" w:rsidP="00940D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DF" w:rsidRDefault="000754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4094"/>
    <w:multiLevelType w:val="hybridMultilevel"/>
    <w:tmpl w:val="D2D00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67D18"/>
    <w:multiLevelType w:val="hybridMultilevel"/>
    <w:tmpl w:val="C25E1D5C"/>
    <w:lvl w:ilvl="0" w:tplc="0409000F">
      <w:start w:val="1"/>
      <w:numFmt w:val="decimal"/>
      <w:lvlText w:val="%1."/>
      <w:lvlJc w:val="left"/>
      <w:pPr>
        <w:ind w:left="720" w:hanging="360"/>
      </w:pPr>
      <w:rPr>
        <w:rFonts w:hint="default"/>
      </w:rPr>
    </w:lvl>
    <w:lvl w:ilvl="1" w:tplc="BC52404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A26FB"/>
    <w:multiLevelType w:val="hybridMultilevel"/>
    <w:tmpl w:val="50204072"/>
    <w:lvl w:ilvl="0" w:tplc="0409000F">
      <w:start w:val="1"/>
      <w:numFmt w:val="decimal"/>
      <w:lvlText w:val="%1."/>
      <w:lvlJc w:val="left"/>
      <w:pPr>
        <w:ind w:left="720" w:hanging="360"/>
      </w:pPr>
      <w:rPr>
        <w:rFonts w:hint="default"/>
      </w:rPr>
    </w:lvl>
    <w:lvl w:ilvl="1" w:tplc="BC52404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B1ECA"/>
    <w:multiLevelType w:val="hybridMultilevel"/>
    <w:tmpl w:val="D47042EA"/>
    <w:lvl w:ilvl="0" w:tplc="0409000F">
      <w:start w:val="1"/>
      <w:numFmt w:val="decimal"/>
      <w:lvlText w:val="%1."/>
      <w:lvlJc w:val="left"/>
      <w:pPr>
        <w:ind w:left="720" w:hanging="360"/>
      </w:pPr>
      <w:rPr>
        <w:rFonts w:hint="default"/>
      </w:rPr>
    </w:lvl>
    <w:lvl w:ilvl="1" w:tplc="BC52404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C2E2E"/>
    <w:multiLevelType w:val="hybridMultilevel"/>
    <w:tmpl w:val="A46C6F58"/>
    <w:lvl w:ilvl="0" w:tplc="BC5240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C1088"/>
    <w:multiLevelType w:val="hybridMultilevel"/>
    <w:tmpl w:val="D090E0C0"/>
    <w:lvl w:ilvl="0" w:tplc="0409000F">
      <w:start w:val="1"/>
      <w:numFmt w:val="decimal"/>
      <w:lvlText w:val="%1."/>
      <w:lvlJc w:val="left"/>
      <w:pPr>
        <w:ind w:left="720" w:hanging="360"/>
      </w:pPr>
      <w:rPr>
        <w:rFonts w:hint="default"/>
      </w:rPr>
    </w:lvl>
    <w:lvl w:ilvl="1" w:tplc="BC52404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F2"/>
    <w:rsid w:val="000754DF"/>
    <w:rsid w:val="001913C1"/>
    <w:rsid w:val="0034374F"/>
    <w:rsid w:val="00595DF1"/>
    <w:rsid w:val="00611F04"/>
    <w:rsid w:val="006667B1"/>
    <w:rsid w:val="00A52974"/>
    <w:rsid w:val="00BC5C0F"/>
    <w:rsid w:val="00C658B5"/>
    <w:rsid w:val="00CE36F2"/>
    <w:rsid w:val="00DD2E76"/>
    <w:rsid w:val="00F6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6AC5"/>
  <w15:chartTrackingRefBased/>
  <w15:docId w15:val="{6B0D9222-E1D6-42FC-B32F-71655203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6F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74F"/>
  </w:style>
  <w:style w:type="paragraph" w:styleId="Footer">
    <w:name w:val="footer"/>
    <w:basedOn w:val="Normal"/>
    <w:link w:val="FooterChar"/>
    <w:uiPriority w:val="99"/>
    <w:unhideWhenUsed/>
    <w:rsid w:val="00343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74F"/>
  </w:style>
  <w:style w:type="paragraph" w:styleId="ListParagraph">
    <w:name w:val="List Paragraph"/>
    <w:basedOn w:val="Normal"/>
    <w:uiPriority w:val="34"/>
    <w:qFormat/>
    <w:rsid w:val="00CE3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5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_\Dropbox\RGAO\Forms%20and%20Templates\RGAO%20New%20Letterhead%2013%20Jan%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RGAO New Letterhead 13 Jan 2016</Template>
  <TotalTime>2</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Casanova</dc:creator>
  <cp:keywords/>
  <dc:description/>
  <cp:lastModifiedBy>Tin Casanova</cp:lastModifiedBy>
  <cp:revision>2</cp:revision>
  <cp:lastPrinted>2016-01-29T12:01:00Z</cp:lastPrinted>
  <dcterms:created xsi:type="dcterms:W3CDTF">2016-09-08T09:22:00Z</dcterms:created>
  <dcterms:modified xsi:type="dcterms:W3CDTF">2016-09-08T09:24:00Z</dcterms:modified>
</cp:coreProperties>
</file>